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AD" w:rsidRPr="00C300AD" w:rsidRDefault="00C300AD" w:rsidP="00C300AD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6123C" wp14:editId="2A766921">
                <wp:simplePos x="0" y="0"/>
                <wp:positionH relativeFrom="column">
                  <wp:posOffset>5094036</wp:posOffset>
                </wp:positionH>
                <wp:positionV relativeFrom="paragraph">
                  <wp:posOffset>-490482</wp:posOffset>
                </wp:positionV>
                <wp:extent cx="788035" cy="314960"/>
                <wp:effectExtent l="0" t="0" r="12065" b="279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0AD" w:rsidRPr="00563476" w:rsidRDefault="00C300AD" w:rsidP="00C300A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563476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61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1.1pt;margin-top:-38.6pt;width:62.0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" fillcolor="white [3201]" strokeweight=".5pt">
                <v:textbox>
                  <w:txbxContent>
                    <w:p w:rsidR="00C300AD" w:rsidRPr="00563476" w:rsidRDefault="00C300AD" w:rsidP="00C300A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563476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563476">
        <w:rPr>
          <w:rFonts w:asciiTheme="majorEastAsia" w:eastAsiaTheme="majorEastAsia" w:hAnsiTheme="majorEastAsia" w:hint="eastAsia"/>
          <w:sz w:val="24"/>
          <w:szCs w:val="24"/>
        </w:rPr>
        <w:t>【別紙】評価項目及び評価内容</w:t>
      </w:r>
    </w:p>
    <w:tbl>
      <w:tblPr>
        <w:tblStyle w:val="a3"/>
        <w:tblpPr w:leftFromText="142" w:rightFromText="142" w:vertAnchor="page" w:horzAnchor="margin" w:tblpY="1606"/>
        <w:tblW w:w="9918" w:type="dxa"/>
        <w:tblLook w:val="04A0" w:firstRow="1" w:lastRow="0" w:firstColumn="1" w:lastColumn="0" w:noHBand="0" w:noVBand="1"/>
      </w:tblPr>
      <w:tblGrid>
        <w:gridCol w:w="492"/>
        <w:gridCol w:w="2583"/>
        <w:gridCol w:w="6201"/>
        <w:gridCol w:w="642"/>
      </w:tblGrid>
      <w:tr w:rsidR="00C300AD" w:rsidRPr="00664CF5" w:rsidTr="005A44C3">
        <w:trPr>
          <w:trHeight w:val="415"/>
        </w:trPr>
        <w:tc>
          <w:tcPr>
            <w:tcW w:w="3075" w:type="dxa"/>
            <w:gridSpan w:val="2"/>
            <w:vAlign w:val="center"/>
          </w:tcPr>
          <w:p w:rsidR="00C300AD" w:rsidRPr="00664CF5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評価項目</w:t>
            </w:r>
          </w:p>
        </w:tc>
        <w:tc>
          <w:tcPr>
            <w:tcW w:w="6201" w:type="dxa"/>
            <w:vAlign w:val="center"/>
          </w:tcPr>
          <w:p w:rsidR="00C300AD" w:rsidRPr="00664CF5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評価内容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C300AD" w:rsidRPr="00664CF5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配点</w:t>
            </w:r>
          </w:p>
        </w:tc>
      </w:tr>
      <w:tr w:rsidR="00C300AD" w:rsidRPr="00664CF5" w:rsidTr="005A44C3">
        <w:trPr>
          <w:trHeight w:val="560"/>
        </w:trPr>
        <w:tc>
          <w:tcPr>
            <w:tcW w:w="492" w:type="dxa"/>
            <w:vMerge w:val="restart"/>
            <w:vAlign w:val="center"/>
          </w:tcPr>
          <w:p w:rsidR="00C300AD" w:rsidRPr="00664CF5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１</w:t>
            </w:r>
          </w:p>
        </w:tc>
        <w:tc>
          <w:tcPr>
            <w:tcW w:w="2583" w:type="dxa"/>
            <w:vMerge w:val="restart"/>
            <w:vAlign w:val="center"/>
          </w:tcPr>
          <w:p w:rsidR="00C300AD" w:rsidRPr="00664CF5" w:rsidRDefault="00C300AD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業務全体に対する基本的</w:t>
            </w:r>
            <w:r w:rsidR="00EF26D4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事項について</w:t>
            </w:r>
          </w:p>
        </w:tc>
        <w:tc>
          <w:tcPr>
            <w:tcW w:w="6201" w:type="dxa"/>
            <w:vAlign w:val="center"/>
          </w:tcPr>
          <w:p w:rsidR="00C300AD" w:rsidRPr="00664CF5" w:rsidRDefault="00847615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C300AD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業務内容を充分に把握するとともに、</w:t>
            </w:r>
            <w:r w:rsidR="00C300AD"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企画提案</w:t>
            </w:r>
            <w:r w:rsidR="00C300AD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が</w:t>
            </w:r>
            <w:r w:rsidR="00C300AD"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業務目的に合致しているか。</w:t>
            </w:r>
          </w:p>
        </w:tc>
        <w:tc>
          <w:tcPr>
            <w:tcW w:w="642" w:type="dxa"/>
            <w:shd w:val="clear" w:color="FFFF00" w:fill="auto"/>
            <w:vAlign w:val="center"/>
          </w:tcPr>
          <w:p w:rsidR="00C300AD" w:rsidRPr="005A44C3" w:rsidRDefault="00F10BB5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 w:rsidRPr="005A44C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10</w:t>
            </w:r>
          </w:p>
        </w:tc>
      </w:tr>
      <w:tr w:rsidR="00C300AD" w:rsidRPr="00664CF5" w:rsidTr="006A5986">
        <w:trPr>
          <w:trHeight w:val="442"/>
        </w:trPr>
        <w:tc>
          <w:tcPr>
            <w:tcW w:w="492" w:type="dxa"/>
            <w:vMerge/>
            <w:vAlign w:val="center"/>
          </w:tcPr>
          <w:p w:rsidR="00C300AD" w:rsidRPr="00664CF5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583" w:type="dxa"/>
            <w:vMerge/>
            <w:vAlign w:val="center"/>
          </w:tcPr>
          <w:p w:rsidR="00C300AD" w:rsidRPr="00664CF5" w:rsidRDefault="00C300AD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6201" w:type="dxa"/>
            <w:vAlign w:val="center"/>
          </w:tcPr>
          <w:p w:rsidR="00C300AD" w:rsidRPr="00664CF5" w:rsidRDefault="00847615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②</w:t>
            </w:r>
            <w:r w:rsidR="00C300AD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提案内容</w:t>
            </w:r>
            <w:r w:rsidR="007D1548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は、提案限度額に対し</w:t>
            </w:r>
            <w:r w:rsidR="00155804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適正か。</w:t>
            </w:r>
          </w:p>
        </w:tc>
        <w:tc>
          <w:tcPr>
            <w:tcW w:w="642" w:type="dxa"/>
            <w:vAlign w:val="center"/>
          </w:tcPr>
          <w:p w:rsidR="00C300AD" w:rsidRPr="00664CF5" w:rsidRDefault="00F10BB5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C300AD" w:rsidRPr="00664CF5" w:rsidTr="006A5986">
        <w:trPr>
          <w:trHeight w:val="548"/>
        </w:trPr>
        <w:tc>
          <w:tcPr>
            <w:tcW w:w="492" w:type="dxa"/>
            <w:vMerge/>
            <w:vAlign w:val="center"/>
          </w:tcPr>
          <w:p w:rsidR="00C300AD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583" w:type="dxa"/>
            <w:vMerge/>
            <w:vAlign w:val="center"/>
          </w:tcPr>
          <w:p w:rsidR="00C300AD" w:rsidRDefault="00C300AD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6201" w:type="dxa"/>
            <w:vAlign w:val="center"/>
          </w:tcPr>
          <w:p w:rsidR="00C300AD" w:rsidRDefault="00847615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③</w:t>
            </w:r>
            <w:r w:rsidR="00C300AD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過去５年間の</w:t>
            </w:r>
            <w:r w:rsidR="00C300AD"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業務実績などにより、業務を確実に履行すると認められるか。</w:t>
            </w:r>
          </w:p>
        </w:tc>
        <w:tc>
          <w:tcPr>
            <w:tcW w:w="642" w:type="dxa"/>
            <w:vAlign w:val="center"/>
          </w:tcPr>
          <w:p w:rsidR="00C300AD" w:rsidRPr="00664CF5" w:rsidRDefault="00F10BB5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C300AD" w:rsidRPr="00664CF5" w:rsidTr="006A5986">
        <w:trPr>
          <w:trHeight w:val="397"/>
        </w:trPr>
        <w:tc>
          <w:tcPr>
            <w:tcW w:w="492" w:type="dxa"/>
            <w:vAlign w:val="center"/>
          </w:tcPr>
          <w:p w:rsidR="00C300AD" w:rsidRPr="00664CF5" w:rsidRDefault="00C300AD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２</w:t>
            </w:r>
          </w:p>
        </w:tc>
        <w:tc>
          <w:tcPr>
            <w:tcW w:w="2583" w:type="dxa"/>
            <w:vAlign w:val="center"/>
          </w:tcPr>
          <w:p w:rsidR="00C300AD" w:rsidRPr="00664CF5" w:rsidRDefault="00C300AD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</w:t>
            </w:r>
            <w:r w:rsidR="006B76E9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の作成</w:t>
            </w: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について</w:t>
            </w:r>
          </w:p>
        </w:tc>
        <w:tc>
          <w:tcPr>
            <w:tcW w:w="6201" w:type="dxa"/>
            <w:vAlign w:val="center"/>
          </w:tcPr>
          <w:p w:rsidR="00C300AD" w:rsidRPr="00664CF5" w:rsidRDefault="00847615" w:rsidP="00A427E1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6B76E9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偽造対策が適切になされる</w:t>
            </w:r>
            <w:r w:rsidR="00F42B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提案</w:t>
            </w:r>
            <w:r w:rsidR="006B76E9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か。</w:t>
            </w:r>
          </w:p>
        </w:tc>
        <w:tc>
          <w:tcPr>
            <w:tcW w:w="642" w:type="dxa"/>
            <w:vAlign w:val="center"/>
          </w:tcPr>
          <w:p w:rsidR="00C300AD" w:rsidRPr="00664CF5" w:rsidRDefault="00F10BB5" w:rsidP="00A427E1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9D1813" w:rsidRPr="00664CF5" w:rsidTr="005A44C3">
        <w:trPr>
          <w:trHeight w:val="559"/>
        </w:trPr>
        <w:tc>
          <w:tcPr>
            <w:tcW w:w="492" w:type="dxa"/>
            <w:vAlign w:val="center"/>
          </w:tcPr>
          <w:p w:rsidR="009D1813" w:rsidRDefault="00422681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３</w:t>
            </w:r>
          </w:p>
        </w:tc>
        <w:tc>
          <w:tcPr>
            <w:tcW w:w="2583" w:type="dxa"/>
            <w:vAlign w:val="center"/>
          </w:tcPr>
          <w:p w:rsidR="009D1813" w:rsidRDefault="0048279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商品券事業の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広報について</w:t>
            </w:r>
          </w:p>
        </w:tc>
        <w:tc>
          <w:tcPr>
            <w:tcW w:w="6201" w:type="dxa"/>
            <w:vAlign w:val="center"/>
          </w:tcPr>
          <w:p w:rsidR="009D1813" w:rsidRDefault="0084761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事業内容、販売所、取扱店などの情報が、市民や事業者に適切かつ有効に周知される提案か。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9D1813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7B0D37" w:rsidRPr="00664CF5" w:rsidTr="005A44C3">
        <w:trPr>
          <w:trHeight w:val="540"/>
        </w:trPr>
        <w:tc>
          <w:tcPr>
            <w:tcW w:w="492" w:type="dxa"/>
            <w:vMerge w:val="restart"/>
            <w:vAlign w:val="center"/>
          </w:tcPr>
          <w:p w:rsidR="007B0D37" w:rsidRDefault="00422681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４</w:t>
            </w:r>
          </w:p>
        </w:tc>
        <w:tc>
          <w:tcPr>
            <w:tcW w:w="2583" w:type="dxa"/>
            <w:vMerge w:val="restart"/>
            <w:vAlign w:val="center"/>
          </w:tcPr>
          <w:p w:rsidR="007B0D37" w:rsidRDefault="0048279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商品券販売所の選定等及び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商品券の販売について</w:t>
            </w:r>
          </w:p>
        </w:tc>
        <w:tc>
          <w:tcPr>
            <w:tcW w:w="6201" w:type="dxa"/>
            <w:vAlign w:val="center"/>
          </w:tcPr>
          <w:p w:rsidR="007B0D37" w:rsidRPr="00664CF5" w:rsidRDefault="0084761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市民の利便性及び安全性を考慮した販売所の選定・運営方法</w:t>
            </w:r>
            <w:r w:rsidR="00492BB4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（土・日・祝日の運営も含む</w:t>
            </w:r>
            <w:r w:rsidR="009D28FB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。</w:t>
            </w:r>
            <w:r w:rsidR="00492BB4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）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となる</w:t>
            </w:r>
            <w:r w:rsidR="00F42B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提案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か。</w:t>
            </w:r>
          </w:p>
        </w:tc>
        <w:tc>
          <w:tcPr>
            <w:tcW w:w="642" w:type="dxa"/>
            <w:shd w:val="clear" w:color="FFFF00" w:fill="auto"/>
            <w:vAlign w:val="center"/>
          </w:tcPr>
          <w:p w:rsidR="007B0D37" w:rsidRPr="00664CF5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明朝"/>
                <w:kern w:val="0"/>
                <w:szCs w:val="21"/>
              </w:rPr>
              <w:t>0</w:t>
            </w:r>
          </w:p>
        </w:tc>
      </w:tr>
      <w:tr w:rsidR="007B0D37" w:rsidRPr="00664CF5" w:rsidTr="005A44C3">
        <w:trPr>
          <w:trHeight w:val="575"/>
        </w:trPr>
        <w:tc>
          <w:tcPr>
            <w:tcW w:w="492" w:type="dxa"/>
            <w:vMerge/>
            <w:vAlign w:val="center"/>
          </w:tcPr>
          <w:p w:rsidR="007B0D37" w:rsidRDefault="007B0D37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583" w:type="dxa"/>
            <w:vMerge/>
            <w:vAlign w:val="center"/>
          </w:tcPr>
          <w:p w:rsidR="007B0D37" w:rsidRDefault="007B0D37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6201" w:type="dxa"/>
            <w:vAlign w:val="center"/>
          </w:tcPr>
          <w:p w:rsidR="007B0D37" w:rsidRPr="00664CF5" w:rsidRDefault="0084761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②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商品券・売上金・</w:t>
            </w:r>
            <w:r w:rsidR="00D06D6B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プレミアム分・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購入引換券など個人情報の管理が適切になされる提案か。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7B0D37" w:rsidRPr="00664CF5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BB0D6C" w:rsidRPr="00664CF5" w:rsidTr="005A44C3">
        <w:trPr>
          <w:trHeight w:val="680"/>
        </w:trPr>
        <w:tc>
          <w:tcPr>
            <w:tcW w:w="492" w:type="dxa"/>
            <w:vAlign w:val="center"/>
          </w:tcPr>
          <w:p w:rsidR="00BB0D6C" w:rsidRDefault="00422681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５</w:t>
            </w:r>
          </w:p>
        </w:tc>
        <w:tc>
          <w:tcPr>
            <w:tcW w:w="2583" w:type="dxa"/>
            <w:vAlign w:val="center"/>
          </w:tcPr>
          <w:p w:rsidR="00BB0D6C" w:rsidRDefault="00BB0D6C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利用者への対応について</w:t>
            </w:r>
          </w:p>
          <w:p w:rsidR="00207ADF" w:rsidRPr="00664CF5" w:rsidRDefault="00207ADF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（コールセンター業務）</w:t>
            </w:r>
          </w:p>
        </w:tc>
        <w:tc>
          <w:tcPr>
            <w:tcW w:w="6201" w:type="dxa"/>
            <w:vAlign w:val="center"/>
          </w:tcPr>
          <w:p w:rsidR="00BB0D6C" w:rsidRDefault="00847615" w:rsidP="00CF1689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商品券の購入方法、使用方法、取扱店など、利用者からの問い合わせ等の対応</w:t>
            </w:r>
            <w:r w:rsidR="00422681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について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、円滑</w:t>
            </w:r>
            <w:r w:rsidR="00422681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に行われ</w:t>
            </w:r>
            <w:r w:rsidR="007B0D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かつ市民の利便性を考慮した提案か。</w:t>
            </w:r>
            <w:r w:rsidR="00CF1689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また、利用者からの苦情等に適切に対応できる提案か。</w:t>
            </w:r>
          </w:p>
        </w:tc>
        <w:tc>
          <w:tcPr>
            <w:tcW w:w="642" w:type="dxa"/>
            <w:shd w:val="clear" w:color="FFFF00" w:fill="auto"/>
            <w:vAlign w:val="center"/>
          </w:tcPr>
          <w:p w:rsidR="00BB0D6C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明朝"/>
                <w:kern w:val="0"/>
                <w:szCs w:val="21"/>
              </w:rPr>
              <w:t>0</w:t>
            </w:r>
          </w:p>
        </w:tc>
      </w:tr>
      <w:tr w:rsidR="009D1813" w:rsidRPr="00664CF5" w:rsidTr="005A44C3">
        <w:trPr>
          <w:trHeight w:val="562"/>
        </w:trPr>
        <w:tc>
          <w:tcPr>
            <w:tcW w:w="492" w:type="dxa"/>
            <w:vMerge w:val="restart"/>
            <w:vAlign w:val="center"/>
          </w:tcPr>
          <w:p w:rsidR="009D1813" w:rsidRDefault="00422681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６</w:t>
            </w:r>
          </w:p>
        </w:tc>
        <w:tc>
          <w:tcPr>
            <w:tcW w:w="2583" w:type="dxa"/>
            <w:vMerge w:val="restart"/>
            <w:vAlign w:val="center"/>
          </w:tcPr>
          <w:p w:rsidR="009D1813" w:rsidRDefault="0048279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取扱店の募集・開拓及び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取扱店への対応について</w:t>
            </w:r>
          </w:p>
          <w:p w:rsidR="00207ADF" w:rsidRPr="00664CF5" w:rsidRDefault="00207ADF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（コールセンター業務）</w:t>
            </w:r>
          </w:p>
        </w:tc>
        <w:tc>
          <w:tcPr>
            <w:tcW w:w="6201" w:type="dxa"/>
            <w:vAlign w:val="center"/>
          </w:tcPr>
          <w:p w:rsidR="009D1813" w:rsidRDefault="0084761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取扱店</w:t>
            </w:r>
            <w:r w:rsidR="009D1813" w:rsidRPr="00A446BF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数の拡大を図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り、</w:t>
            </w:r>
            <w:r w:rsidR="009D1813" w:rsidRPr="00664CF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多くの事業者の登録が期待できる提案か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。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9D1813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9D1813" w:rsidRPr="00664CF5" w:rsidTr="005A44C3">
        <w:trPr>
          <w:trHeight w:val="680"/>
        </w:trPr>
        <w:tc>
          <w:tcPr>
            <w:tcW w:w="492" w:type="dxa"/>
            <w:vMerge/>
            <w:vAlign w:val="center"/>
          </w:tcPr>
          <w:p w:rsidR="009D1813" w:rsidRDefault="009D1813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583" w:type="dxa"/>
            <w:vMerge/>
            <w:vAlign w:val="center"/>
          </w:tcPr>
          <w:p w:rsidR="009D1813" w:rsidRDefault="009D1813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6201" w:type="dxa"/>
            <w:vAlign w:val="center"/>
          </w:tcPr>
          <w:p w:rsidR="009D1813" w:rsidRDefault="0084761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②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取扱店登録の方法、商品券の使用・換金方法など、事業者からの問い合わせ等の対応</w:t>
            </w:r>
            <w:r w:rsidR="00422681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について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、円滑</w:t>
            </w:r>
            <w:r w:rsidR="00422681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に行われ</w:t>
            </w:r>
            <w:r w:rsidR="00484B51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、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かつ事業者の利便性を考慮した提案か。</w:t>
            </w:r>
            <w:r w:rsidR="00BF0BB8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また、取扱店からの苦情等に適切に対応できる提案か。</w:t>
            </w:r>
          </w:p>
        </w:tc>
        <w:tc>
          <w:tcPr>
            <w:tcW w:w="642" w:type="dxa"/>
            <w:shd w:val="clear" w:color="FFFF00" w:fill="auto"/>
            <w:vAlign w:val="center"/>
          </w:tcPr>
          <w:p w:rsidR="009D1813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ＭＳ明朝"/>
                <w:kern w:val="0"/>
                <w:szCs w:val="21"/>
              </w:rPr>
              <w:t>0</w:t>
            </w:r>
          </w:p>
        </w:tc>
      </w:tr>
      <w:tr w:rsidR="00BB0D6C" w:rsidRPr="00664CF5" w:rsidTr="006A5986">
        <w:trPr>
          <w:trHeight w:val="587"/>
        </w:trPr>
        <w:tc>
          <w:tcPr>
            <w:tcW w:w="492" w:type="dxa"/>
            <w:vAlign w:val="center"/>
          </w:tcPr>
          <w:p w:rsidR="00BB0D6C" w:rsidRDefault="00422681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７</w:t>
            </w:r>
          </w:p>
        </w:tc>
        <w:tc>
          <w:tcPr>
            <w:tcW w:w="2583" w:type="dxa"/>
            <w:vAlign w:val="center"/>
          </w:tcPr>
          <w:p w:rsidR="00BB0D6C" w:rsidRPr="00664CF5" w:rsidRDefault="009D1813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</w:t>
            </w:r>
            <w:r w:rsidR="004A76F6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等</w:t>
            </w: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の配送</w:t>
            </w:r>
            <w:r w:rsidR="00BB0D6C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について</w:t>
            </w:r>
          </w:p>
        </w:tc>
        <w:tc>
          <w:tcPr>
            <w:tcW w:w="6201" w:type="dxa"/>
            <w:vAlign w:val="center"/>
          </w:tcPr>
          <w:p w:rsidR="00BB0D6C" w:rsidRPr="00664CF5" w:rsidRDefault="00847615" w:rsidP="009D1813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0E34F1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</w:t>
            </w:r>
            <w:r w:rsidR="009D1813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、購入引換券、各種作成物の配送について、適切かつセキュリティを確保した提案か。</w:t>
            </w:r>
          </w:p>
        </w:tc>
        <w:tc>
          <w:tcPr>
            <w:tcW w:w="642" w:type="dxa"/>
            <w:vAlign w:val="center"/>
          </w:tcPr>
          <w:p w:rsidR="00BB0D6C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BB0D6C" w:rsidRPr="00664CF5" w:rsidTr="006A5986">
        <w:trPr>
          <w:trHeight w:val="568"/>
        </w:trPr>
        <w:tc>
          <w:tcPr>
            <w:tcW w:w="492" w:type="dxa"/>
            <w:vAlign w:val="center"/>
          </w:tcPr>
          <w:p w:rsidR="00BB0D6C" w:rsidRDefault="00D06D6B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８</w:t>
            </w:r>
          </w:p>
        </w:tc>
        <w:tc>
          <w:tcPr>
            <w:tcW w:w="2583" w:type="dxa"/>
            <w:vAlign w:val="center"/>
          </w:tcPr>
          <w:p w:rsidR="00BB0D6C" w:rsidRPr="00664CF5" w:rsidRDefault="00FB18A9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商品券の換金について</w:t>
            </w:r>
          </w:p>
        </w:tc>
        <w:tc>
          <w:tcPr>
            <w:tcW w:w="6201" w:type="dxa"/>
            <w:vAlign w:val="center"/>
          </w:tcPr>
          <w:p w:rsidR="00BB0D6C" w:rsidRDefault="00847615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FB18A9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換金方法、換金スケジュールなどについて、取扱店の利便性を考慮し</w:t>
            </w:r>
            <w:r w:rsidR="00D06D6B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、安全かつ確実に実施される</w:t>
            </w:r>
            <w:r w:rsidR="00FB18A9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提案か。</w:t>
            </w:r>
          </w:p>
        </w:tc>
        <w:tc>
          <w:tcPr>
            <w:tcW w:w="642" w:type="dxa"/>
            <w:vAlign w:val="center"/>
          </w:tcPr>
          <w:p w:rsidR="00BB0D6C" w:rsidRDefault="00F10BB5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A61134" w:rsidRPr="00664CF5" w:rsidTr="005A44C3">
        <w:trPr>
          <w:trHeight w:val="568"/>
        </w:trPr>
        <w:tc>
          <w:tcPr>
            <w:tcW w:w="492" w:type="dxa"/>
            <w:vAlign w:val="center"/>
          </w:tcPr>
          <w:p w:rsidR="00A61134" w:rsidRDefault="00A61134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９</w:t>
            </w:r>
          </w:p>
        </w:tc>
        <w:tc>
          <w:tcPr>
            <w:tcW w:w="2583" w:type="dxa"/>
            <w:vAlign w:val="center"/>
          </w:tcPr>
          <w:p w:rsidR="00A61134" w:rsidRDefault="00A61134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データ管理・分析について</w:t>
            </w:r>
          </w:p>
        </w:tc>
        <w:tc>
          <w:tcPr>
            <w:tcW w:w="6201" w:type="dxa"/>
            <w:vAlign w:val="center"/>
          </w:tcPr>
          <w:p w:rsidR="00A61134" w:rsidRDefault="00A61134" w:rsidP="00BB0D6C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①業務に伴い収集等を行ったデータを適正に管理・分析し、発注者に適切に提供できる提案か。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A61134" w:rsidRDefault="00A61134" w:rsidP="00BB0D6C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847615" w:rsidRPr="00664CF5" w:rsidTr="005A44C3">
        <w:trPr>
          <w:trHeight w:val="547"/>
        </w:trPr>
        <w:tc>
          <w:tcPr>
            <w:tcW w:w="492" w:type="dxa"/>
            <w:vMerge w:val="restart"/>
            <w:vAlign w:val="center"/>
          </w:tcPr>
          <w:p w:rsidR="00847615" w:rsidRDefault="00A61134" w:rsidP="00B531B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10</w:t>
            </w:r>
          </w:p>
        </w:tc>
        <w:tc>
          <w:tcPr>
            <w:tcW w:w="2583" w:type="dxa"/>
            <w:vMerge w:val="restart"/>
            <w:vAlign w:val="center"/>
          </w:tcPr>
          <w:p w:rsidR="00847615" w:rsidRDefault="00847615" w:rsidP="00B531B5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地元貢献について</w:t>
            </w:r>
          </w:p>
        </w:tc>
        <w:tc>
          <w:tcPr>
            <w:tcW w:w="6201" w:type="dxa"/>
            <w:vAlign w:val="center"/>
          </w:tcPr>
          <w:p w:rsidR="00847615" w:rsidRDefault="00847615" w:rsidP="00B531B5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①事業の実施に際して、</w:t>
            </w:r>
            <w:r w:rsidRPr="00F42B37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市内本店業者の活用や市内本店業者からの原材料等の調達</w:t>
            </w: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を行う提案となっているか。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FFFF00" w:fill="auto"/>
            <w:vAlign w:val="center"/>
          </w:tcPr>
          <w:p w:rsidR="00847615" w:rsidRDefault="00B23AAB" w:rsidP="00B531B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10</w:t>
            </w:r>
          </w:p>
        </w:tc>
      </w:tr>
      <w:tr w:rsidR="00847615" w:rsidRPr="00664CF5" w:rsidTr="005A44C3">
        <w:trPr>
          <w:trHeight w:val="428"/>
        </w:trPr>
        <w:tc>
          <w:tcPr>
            <w:tcW w:w="492" w:type="dxa"/>
            <w:vMerge/>
            <w:vAlign w:val="center"/>
          </w:tcPr>
          <w:p w:rsidR="00847615" w:rsidRDefault="00847615" w:rsidP="0084761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2583" w:type="dxa"/>
            <w:vMerge/>
            <w:vAlign w:val="center"/>
          </w:tcPr>
          <w:p w:rsidR="00847615" w:rsidRDefault="00847615" w:rsidP="00847615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</w:p>
        </w:tc>
        <w:tc>
          <w:tcPr>
            <w:tcW w:w="6201" w:type="dxa"/>
            <w:vAlign w:val="center"/>
          </w:tcPr>
          <w:p w:rsidR="00847615" w:rsidRDefault="00847615" w:rsidP="00847615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②事業の実施に際して、業務従事者</w:t>
            </w:r>
            <w:r w:rsidR="006A5986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として</w:t>
            </w: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市民</w:t>
            </w:r>
            <w:r w:rsidR="0045393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を活用する</w:t>
            </w: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提案となっているか。</w:t>
            </w:r>
          </w:p>
        </w:tc>
        <w:tc>
          <w:tcPr>
            <w:tcW w:w="642" w:type="dxa"/>
            <w:shd w:val="clear" w:color="FFFF00" w:fill="auto"/>
            <w:vAlign w:val="center"/>
          </w:tcPr>
          <w:p w:rsidR="00847615" w:rsidRPr="00847615" w:rsidRDefault="00F36EBC" w:rsidP="0084761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847615" w:rsidRPr="00664CF5" w:rsidTr="006A5986">
        <w:trPr>
          <w:trHeight w:val="544"/>
        </w:trPr>
        <w:tc>
          <w:tcPr>
            <w:tcW w:w="492" w:type="dxa"/>
            <w:vAlign w:val="center"/>
          </w:tcPr>
          <w:p w:rsidR="00847615" w:rsidRDefault="00A61134" w:rsidP="0084761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11</w:t>
            </w:r>
          </w:p>
        </w:tc>
        <w:tc>
          <w:tcPr>
            <w:tcW w:w="2583" w:type="dxa"/>
            <w:vAlign w:val="center"/>
          </w:tcPr>
          <w:p w:rsidR="00847615" w:rsidRPr="00664CF5" w:rsidRDefault="00A61134" w:rsidP="00847615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201" w:type="dxa"/>
            <w:vAlign w:val="center"/>
          </w:tcPr>
          <w:p w:rsidR="00847615" w:rsidRDefault="00484B51" w:rsidP="00847615">
            <w:pPr>
              <w:spacing w:line="0" w:lineRule="atLeast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①</w:t>
            </w:r>
            <w:r w:rsidR="00847615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事業規模に対して、運営を円滑に遂行できる役割分担、人員等が確保された提案か。</w:t>
            </w:r>
          </w:p>
        </w:tc>
        <w:tc>
          <w:tcPr>
            <w:tcW w:w="642" w:type="dxa"/>
            <w:vAlign w:val="center"/>
          </w:tcPr>
          <w:p w:rsidR="00847615" w:rsidRDefault="00847615" w:rsidP="0084761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  <w:tr w:rsidR="00847615" w:rsidRPr="00664CF5" w:rsidTr="006A5986">
        <w:trPr>
          <w:trHeight w:val="567"/>
        </w:trPr>
        <w:tc>
          <w:tcPr>
            <w:tcW w:w="9276" w:type="dxa"/>
            <w:gridSpan w:val="3"/>
            <w:vAlign w:val="center"/>
          </w:tcPr>
          <w:p w:rsidR="00847615" w:rsidRPr="00664CF5" w:rsidRDefault="00847615" w:rsidP="0084761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合計</w:t>
            </w:r>
          </w:p>
        </w:tc>
        <w:tc>
          <w:tcPr>
            <w:tcW w:w="642" w:type="dxa"/>
            <w:vAlign w:val="center"/>
          </w:tcPr>
          <w:p w:rsidR="00847615" w:rsidRPr="00664CF5" w:rsidRDefault="00847615" w:rsidP="00847615">
            <w:pPr>
              <w:spacing w:line="0" w:lineRule="atLeast"/>
              <w:jc w:val="center"/>
              <w:rPr>
                <w:rFonts w:asciiTheme="majorEastAsia" w:eastAsiaTheme="majorEastAsia" w:hAnsiTheme="majorEastAsia" w:cs="ＭＳ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10</w:t>
            </w:r>
            <w:r w:rsidR="00F36EBC">
              <w:rPr>
                <w:rFonts w:asciiTheme="majorEastAsia" w:eastAsiaTheme="majorEastAsia" w:hAnsiTheme="majorEastAsia" w:cs="ＭＳ明朝" w:hint="eastAsia"/>
                <w:kern w:val="0"/>
                <w:szCs w:val="21"/>
              </w:rPr>
              <w:t>5</w:t>
            </w:r>
          </w:p>
        </w:tc>
      </w:tr>
    </w:tbl>
    <w:p w:rsidR="00A427E1" w:rsidRDefault="00A427E1" w:rsidP="00A427E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得点　</w:t>
      </w:r>
      <w:r w:rsidR="00847615">
        <w:rPr>
          <w:rFonts w:asciiTheme="majorEastAsia" w:eastAsiaTheme="majorEastAsia" w:hAnsiTheme="majorEastAsia" w:hint="eastAsia"/>
        </w:rPr>
        <w:t>5</w:t>
      </w:r>
      <w:r w:rsidRPr="00D841D7">
        <w:rPr>
          <w:rFonts w:asciiTheme="majorEastAsia" w:eastAsiaTheme="majorEastAsia" w:hAnsiTheme="majorEastAsia"/>
        </w:rPr>
        <w:t>点：特に優れている、</w:t>
      </w:r>
      <w:r w:rsidR="00847615">
        <w:rPr>
          <w:rFonts w:asciiTheme="majorEastAsia" w:eastAsiaTheme="majorEastAsia" w:hAnsiTheme="majorEastAsia" w:hint="eastAsia"/>
        </w:rPr>
        <w:t>4</w:t>
      </w:r>
      <w:r w:rsidRPr="00D841D7">
        <w:rPr>
          <w:rFonts w:asciiTheme="majorEastAsia" w:eastAsiaTheme="majorEastAsia" w:hAnsiTheme="majorEastAsia"/>
        </w:rPr>
        <w:t>点：優れている、</w:t>
      </w:r>
      <w:r w:rsidR="00847615">
        <w:rPr>
          <w:rFonts w:asciiTheme="majorEastAsia" w:eastAsiaTheme="majorEastAsia" w:hAnsiTheme="majorEastAsia" w:hint="eastAsia"/>
        </w:rPr>
        <w:t>3</w:t>
      </w:r>
      <w:r w:rsidRPr="00D841D7">
        <w:rPr>
          <w:rFonts w:asciiTheme="majorEastAsia" w:eastAsiaTheme="majorEastAsia" w:hAnsiTheme="majorEastAsia"/>
        </w:rPr>
        <w:t>点：</w:t>
      </w:r>
      <w:r w:rsidRPr="00D841D7">
        <w:rPr>
          <w:rFonts w:asciiTheme="majorEastAsia" w:eastAsiaTheme="majorEastAsia" w:hAnsiTheme="majorEastAsia" w:hint="eastAsia"/>
        </w:rPr>
        <w:t>普通</w:t>
      </w:r>
      <w:r w:rsidRPr="00D841D7">
        <w:rPr>
          <w:rFonts w:asciiTheme="majorEastAsia" w:eastAsiaTheme="majorEastAsia" w:hAnsiTheme="majorEastAsia"/>
        </w:rPr>
        <w:t>、</w:t>
      </w:r>
      <w:r w:rsidR="00847615">
        <w:rPr>
          <w:rFonts w:asciiTheme="majorEastAsia" w:eastAsiaTheme="majorEastAsia" w:hAnsiTheme="majorEastAsia" w:hint="eastAsia"/>
        </w:rPr>
        <w:t>2</w:t>
      </w:r>
      <w:r w:rsidRPr="00D841D7">
        <w:rPr>
          <w:rFonts w:asciiTheme="majorEastAsia" w:eastAsiaTheme="majorEastAsia" w:hAnsiTheme="majorEastAsia"/>
        </w:rPr>
        <w:t>点：やや劣る、</w:t>
      </w:r>
      <w:r w:rsidR="00847615">
        <w:rPr>
          <w:rFonts w:asciiTheme="majorEastAsia" w:eastAsiaTheme="majorEastAsia" w:hAnsiTheme="majorEastAsia" w:hint="eastAsia"/>
        </w:rPr>
        <w:t>1</w:t>
      </w:r>
      <w:r w:rsidRPr="00D841D7">
        <w:rPr>
          <w:rFonts w:asciiTheme="majorEastAsia" w:eastAsiaTheme="majorEastAsia" w:hAnsiTheme="majorEastAsia"/>
        </w:rPr>
        <w:t>点：劣る</w:t>
      </w:r>
    </w:p>
    <w:p w:rsidR="00A427E1" w:rsidRDefault="00A427E1" w:rsidP="006A5986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配点が</w:t>
      </w:r>
      <w:r w:rsidR="00847615">
        <w:rPr>
          <w:rFonts w:asciiTheme="majorEastAsia" w:eastAsiaTheme="majorEastAsia" w:hAnsiTheme="majorEastAsia" w:hint="eastAsia"/>
        </w:rPr>
        <w:t>10</w:t>
      </w:r>
      <w:r>
        <w:rPr>
          <w:rFonts w:asciiTheme="majorEastAsia" w:eastAsiaTheme="majorEastAsia" w:hAnsiTheme="majorEastAsia" w:hint="eastAsia"/>
        </w:rPr>
        <w:t>点の項目は、上記得点に</w:t>
      </w:r>
      <w:r w:rsidR="00847615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を乗じたものを当該評価項目の得点とする。</w:t>
      </w:r>
    </w:p>
    <w:p w:rsidR="00847615" w:rsidRDefault="00847615" w:rsidP="006A5986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EB6225">
        <w:rPr>
          <w:rFonts w:asciiTheme="majorEastAsia" w:eastAsiaTheme="majorEastAsia" w:hAnsiTheme="majorEastAsia" w:hint="eastAsia"/>
        </w:rPr>
        <w:t>1</w:t>
      </w:r>
      <w:r w:rsidR="00EB6225">
        <w:rPr>
          <w:rFonts w:asciiTheme="majorEastAsia" w:eastAsiaTheme="majorEastAsia" w:hAnsiTheme="majorEastAsia"/>
        </w:rPr>
        <w:t>0</w:t>
      </w:r>
      <w:r w:rsidR="00EB6225">
        <w:rPr>
          <w:rFonts w:asciiTheme="majorEastAsia" w:eastAsiaTheme="majorEastAsia" w:hAnsiTheme="majorEastAsia" w:hint="eastAsia"/>
        </w:rPr>
        <w:t>①に</w:t>
      </w:r>
      <w:r>
        <w:rPr>
          <w:rFonts w:asciiTheme="majorEastAsia" w:eastAsiaTheme="majorEastAsia" w:hAnsiTheme="majorEastAsia" w:hint="eastAsia"/>
        </w:rPr>
        <w:t>ついては、</w:t>
      </w:r>
      <w:r w:rsidR="00114099">
        <w:rPr>
          <w:rFonts w:asciiTheme="majorEastAsia" w:eastAsiaTheme="majorEastAsia" w:hAnsiTheme="majorEastAsia" w:hint="eastAsia"/>
        </w:rPr>
        <w:t>事務費の</w:t>
      </w:r>
      <w:r>
        <w:rPr>
          <w:rFonts w:asciiTheme="majorEastAsia" w:eastAsiaTheme="majorEastAsia" w:hAnsiTheme="majorEastAsia" w:hint="eastAsia"/>
        </w:rPr>
        <w:t>見積内訳書（様式第７号）の</w:t>
      </w:r>
      <w:r w:rsidRPr="00847615">
        <w:rPr>
          <w:rFonts w:asciiTheme="majorEastAsia" w:eastAsiaTheme="majorEastAsia" w:hAnsiTheme="majorEastAsia" w:hint="eastAsia"/>
        </w:rPr>
        <w:t>再委託に係る金額のうち</w:t>
      </w:r>
      <w:r>
        <w:rPr>
          <w:rFonts w:asciiTheme="majorEastAsia" w:eastAsiaTheme="majorEastAsia" w:hAnsiTheme="majorEastAsia" w:hint="eastAsia"/>
        </w:rPr>
        <w:t>、</w:t>
      </w:r>
      <w:r w:rsidR="00A415BA">
        <w:rPr>
          <w:rFonts w:asciiTheme="majorEastAsia" w:eastAsiaTheme="majorEastAsia" w:hAnsiTheme="majorEastAsia" w:hint="eastAsia"/>
        </w:rPr>
        <w:t>「</w:t>
      </w:r>
      <w:r w:rsidRPr="00847615">
        <w:rPr>
          <w:rFonts w:asciiTheme="majorEastAsia" w:eastAsiaTheme="majorEastAsia" w:hAnsiTheme="majorEastAsia" w:hint="eastAsia"/>
        </w:rPr>
        <w:t>市内本店事業者の活用に係る金額</w:t>
      </w:r>
      <w:r w:rsidR="00A415BA">
        <w:rPr>
          <w:rFonts w:asciiTheme="majorEastAsia" w:eastAsiaTheme="majorEastAsia" w:hAnsiTheme="majorEastAsia" w:hint="eastAsia"/>
        </w:rPr>
        <w:t>」</w:t>
      </w:r>
      <w:r w:rsidRPr="00847615">
        <w:rPr>
          <w:rFonts w:asciiTheme="majorEastAsia" w:eastAsiaTheme="majorEastAsia" w:hAnsiTheme="majorEastAsia" w:hint="eastAsia"/>
        </w:rPr>
        <w:t>の割合</w:t>
      </w:r>
      <w:r>
        <w:rPr>
          <w:rFonts w:asciiTheme="majorEastAsia" w:eastAsiaTheme="majorEastAsia" w:hAnsiTheme="majorEastAsia" w:hint="eastAsia"/>
        </w:rPr>
        <w:t>に応じた得点とする。</w:t>
      </w:r>
      <w:r w:rsidR="001B7891">
        <w:rPr>
          <w:rFonts w:asciiTheme="majorEastAsia" w:eastAsiaTheme="majorEastAsia" w:hAnsiTheme="majorEastAsia" w:hint="eastAsia"/>
        </w:rPr>
        <w:t>ただし、</w:t>
      </w:r>
      <w:r w:rsidR="00D36AED">
        <w:rPr>
          <w:rFonts w:asciiTheme="majorEastAsia" w:eastAsiaTheme="majorEastAsia" w:hAnsiTheme="majorEastAsia" w:hint="eastAsia"/>
        </w:rPr>
        <w:t>受注者が</w:t>
      </w:r>
      <w:r w:rsidR="001B7891">
        <w:rPr>
          <w:rFonts w:asciiTheme="majorEastAsia" w:eastAsiaTheme="majorEastAsia" w:hAnsiTheme="majorEastAsia" w:hint="eastAsia"/>
        </w:rPr>
        <w:t>市内本店事業者の場合</w:t>
      </w:r>
      <w:r w:rsidR="00D36AED">
        <w:rPr>
          <w:rFonts w:asciiTheme="majorEastAsia" w:eastAsiaTheme="majorEastAsia" w:hAnsiTheme="majorEastAsia" w:hint="eastAsia"/>
        </w:rPr>
        <w:t>で、再委託を行わない場合は、</w:t>
      </w:r>
      <w:r w:rsidR="001B7891">
        <w:rPr>
          <w:rFonts w:asciiTheme="majorEastAsia" w:eastAsiaTheme="majorEastAsia" w:hAnsiTheme="majorEastAsia" w:hint="eastAsia"/>
        </w:rPr>
        <w:t>その金額</w:t>
      </w:r>
      <w:r w:rsidR="00A415BA">
        <w:rPr>
          <w:rFonts w:asciiTheme="majorEastAsia" w:eastAsiaTheme="majorEastAsia" w:hAnsiTheme="majorEastAsia" w:hint="eastAsia"/>
        </w:rPr>
        <w:t>を「</w:t>
      </w:r>
      <w:r w:rsidR="00A415BA" w:rsidRPr="00847615">
        <w:rPr>
          <w:rFonts w:asciiTheme="majorEastAsia" w:eastAsiaTheme="majorEastAsia" w:hAnsiTheme="majorEastAsia" w:hint="eastAsia"/>
        </w:rPr>
        <w:t>市内本店事業者の活用に係る金額</w:t>
      </w:r>
      <w:r w:rsidR="00A415BA">
        <w:rPr>
          <w:rFonts w:asciiTheme="majorEastAsia" w:eastAsiaTheme="majorEastAsia" w:hAnsiTheme="majorEastAsia" w:hint="eastAsia"/>
        </w:rPr>
        <w:t>」としてみなす</w:t>
      </w:r>
      <w:bookmarkStart w:id="0" w:name="_GoBack"/>
      <w:bookmarkEnd w:id="0"/>
      <w:r w:rsidR="00D36AED">
        <w:rPr>
          <w:rFonts w:asciiTheme="majorEastAsia" w:eastAsiaTheme="majorEastAsia" w:hAnsiTheme="majorEastAsia" w:hint="eastAsia"/>
        </w:rPr>
        <w:t>。</w:t>
      </w:r>
    </w:p>
    <w:p w:rsidR="00847615" w:rsidRPr="00550D37" w:rsidRDefault="00847615" w:rsidP="006A5986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5点</w:t>
      </w:r>
      <w:r w:rsidR="006A5986">
        <w:rPr>
          <w:rFonts w:asciiTheme="majorEastAsia" w:eastAsiaTheme="majorEastAsia" w:hAnsiTheme="majorEastAsia" w:hint="eastAsia"/>
        </w:rPr>
        <w:t>：51％以上</w:t>
      </w:r>
      <w:r>
        <w:rPr>
          <w:rFonts w:asciiTheme="majorEastAsia" w:eastAsiaTheme="majorEastAsia" w:hAnsiTheme="majorEastAsia" w:hint="eastAsia"/>
        </w:rPr>
        <w:t xml:space="preserve">　</w:t>
      </w:r>
      <w:r w:rsidR="006A5986">
        <w:rPr>
          <w:rFonts w:asciiTheme="majorEastAsia" w:eastAsiaTheme="majorEastAsia" w:hAnsiTheme="majorEastAsia" w:hint="eastAsia"/>
        </w:rPr>
        <w:t>4点：</w:t>
      </w:r>
      <w:r>
        <w:rPr>
          <w:rFonts w:asciiTheme="majorEastAsia" w:eastAsiaTheme="majorEastAsia" w:hAnsiTheme="majorEastAsia" w:hint="eastAsia"/>
        </w:rPr>
        <w:t>41％～50％</w:t>
      </w:r>
      <w:r w:rsidR="006A5986">
        <w:rPr>
          <w:rFonts w:asciiTheme="majorEastAsia" w:eastAsiaTheme="majorEastAsia" w:hAnsiTheme="majorEastAsia" w:hint="eastAsia"/>
        </w:rPr>
        <w:t xml:space="preserve">　3点：</w:t>
      </w:r>
      <w:r>
        <w:rPr>
          <w:rFonts w:asciiTheme="majorEastAsia" w:eastAsiaTheme="majorEastAsia" w:hAnsiTheme="majorEastAsia" w:hint="eastAsia"/>
        </w:rPr>
        <w:t>31％～40</w:t>
      </w:r>
      <w:r w:rsidR="006A5986">
        <w:rPr>
          <w:rFonts w:asciiTheme="majorEastAsia" w:eastAsiaTheme="majorEastAsia" w:hAnsiTheme="majorEastAsia" w:hint="eastAsia"/>
        </w:rPr>
        <w:t>％　2点：21％～30％　1点：20％以下</w:t>
      </w:r>
    </w:p>
    <w:p w:rsidR="00114099" w:rsidRDefault="006A5986" w:rsidP="006A5986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EB6225">
        <w:rPr>
          <w:rFonts w:asciiTheme="majorEastAsia" w:eastAsiaTheme="majorEastAsia" w:hAnsiTheme="majorEastAsia" w:hint="eastAsia"/>
        </w:rPr>
        <w:t>10</w:t>
      </w:r>
      <w:r>
        <w:rPr>
          <w:rFonts w:asciiTheme="majorEastAsia" w:eastAsiaTheme="majorEastAsia" w:hAnsiTheme="majorEastAsia" w:hint="eastAsia"/>
        </w:rPr>
        <w:t>②については、</w:t>
      </w:r>
      <w:r w:rsidR="00114099">
        <w:rPr>
          <w:rFonts w:asciiTheme="majorEastAsia" w:eastAsiaTheme="majorEastAsia" w:hAnsiTheme="majorEastAsia" w:hint="eastAsia"/>
        </w:rPr>
        <w:t>事務費の</w:t>
      </w:r>
      <w:r w:rsidR="00D75CC9">
        <w:rPr>
          <w:rFonts w:asciiTheme="majorEastAsia" w:eastAsiaTheme="majorEastAsia" w:hAnsiTheme="majorEastAsia" w:hint="eastAsia"/>
        </w:rPr>
        <w:t>見積内訳書（様式第７号）の「</w:t>
      </w:r>
      <w:r w:rsidR="00D75CC9" w:rsidRPr="00D75CC9">
        <w:rPr>
          <w:rFonts w:asciiTheme="majorEastAsia" w:eastAsiaTheme="majorEastAsia" w:hAnsiTheme="majorEastAsia" w:hint="eastAsia"/>
        </w:rPr>
        <w:t>市民の</w:t>
      </w:r>
      <w:r w:rsidR="00ED5753">
        <w:rPr>
          <w:rFonts w:asciiTheme="majorEastAsia" w:eastAsiaTheme="majorEastAsia" w:hAnsiTheme="majorEastAsia" w:hint="eastAsia"/>
        </w:rPr>
        <w:t>活用</w:t>
      </w:r>
      <w:r w:rsidR="00D75CC9" w:rsidRPr="00D75CC9">
        <w:rPr>
          <w:rFonts w:asciiTheme="majorEastAsia" w:eastAsiaTheme="majorEastAsia" w:hAnsiTheme="majorEastAsia" w:hint="eastAsia"/>
        </w:rPr>
        <w:t>の有無</w:t>
      </w:r>
      <w:r w:rsidR="00D75CC9">
        <w:rPr>
          <w:rFonts w:asciiTheme="majorEastAsia" w:eastAsiaTheme="majorEastAsia" w:hAnsiTheme="majorEastAsia" w:hint="eastAsia"/>
        </w:rPr>
        <w:t>」欄</w:t>
      </w:r>
      <w:r w:rsidR="00114099">
        <w:rPr>
          <w:rFonts w:asciiTheme="majorEastAsia" w:eastAsiaTheme="majorEastAsia" w:hAnsiTheme="majorEastAsia" w:hint="eastAsia"/>
        </w:rPr>
        <w:t>の</w:t>
      </w:r>
      <w:r w:rsidR="00D75CC9">
        <w:rPr>
          <w:rFonts w:asciiTheme="majorEastAsia" w:eastAsiaTheme="majorEastAsia" w:hAnsiTheme="majorEastAsia" w:hint="eastAsia"/>
        </w:rPr>
        <w:t>〇</w:t>
      </w:r>
      <w:r w:rsidR="00114099">
        <w:rPr>
          <w:rFonts w:asciiTheme="majorEastAsia" w:eastAsiaTheme="majorEastAsia" w:hAnsiTheme="majorEastAsia" w:hint="eastAsia"/>
        </w:rPr>
        <w:t>の</w:t>
      </w:r>
      <w:r w:rsidR="00B0289C">
        <w:rPr>
          <w:rFonts w:asciiTheme="majorEastAsia" w:eastAsiaTheme="majorEastAsia" w:hAnsiTheme="majorEastAsia" w:hint="eastAsia"/>
        </w:rPr>
        <w:t>合計</w:t>
      </w:r>
      <w:r w:rsidR="00114099">
        <w:rPr>
          <w:rFonts w:asciiTheme="majorEastAsia" w:eastAsiaTheme="majorEastAsia" w:hAnsiTheme="majorEastAsia" w:hint="eastAsia"/>
        </w:rPr>
        <w:t>数に応じた得点とする。</w:t>
      </w:r>
    </w:p>
    <w:p w:rsidR="00C300AD" w:rsidRPr="00EB6225" w:rsidRDefault="00114099" w:rsidP="00114099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>5点：〇が</w:t>
      </w:r>
      <w:r w:rsidR="00EB6225">
        <w:rPr>
          <w:rFonts w:asciiTheme="majorEastAsia" w:eastAsiaTheme="majorEastAsia" w:hAnsiTheme="majorEastAsia" w:hint="eastAsia"/>
        </w:rPr>
        <w:t>4</w:t>
      </w:r>
      <w:r>
        <w:rPr>
          <w:rFonts w:asciiTheme="majorEastAsia" w:eastAsiaTheme="majorEastAsia" w:hAnsiTheme="majorEastAsia" w:hint="eastAsia"/>
        </w:rPr>
        <w:t>つ</w:t>
      </w:r>
      <w:r w:rsidR="00EB6225">
        <w:rPr>
          <w:rFonts w:asciiTheme="majorEastAsia" w:eastAsiaTheme="majorEastAsia" w:hAnsiTheme="majorEastAsia" w:hint="eastAsia"/>
        </w:rPr>
        <w:t>以上</w:t>
      </w:r>
      <w:r>
        <w:rPr>
          <w:rFonts w:asciiTheme="majorEastAsia" w:eastAsiaTheme="majorEastAsia" w:hAnsiTheme="majorEastAsia" w:hint="eastAsia"/>
        </w:rPr>
        <w:t xml:space="preserve">　4点：〇が</w:t>
      </w:r>
      <w:r w:rsidR="00EB6225">
        <w:rPr>
          <w:rFonts w:asciiTheme="majorEastAsia" w:eastAsiaTheme="majorEastAsia" w:hAnsiTheme="majorEastAsia" w:hint="eastAsia"/>
        </w:rPr>
        <w:t>3</w:t>
      </w:r>
      <w:r>
        <w:rPr>
          <w:rFonts w:asciiTheme="majorEastAsia" w:eastAsiaTheme="majorEastAsia" w:hAnsiTheme="majorEastAsia" w:hint="eastAsia"/>
        </w:rPr>
        <w:t>つ　3点：〇が</w:t>
      </w:r>
      <w:r w:rsidR="00EB6225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つ　2点：</w:t>
      </w:r>
      <w:r w:rsidR="00B0289C">
        <w:rPr>
          <w:rFonts w:asciiTheme="majorEastAsia" w:eastAsiaTheme="majorEastAsia" w:hAnsiTheme="majorEastAsia" w:hint="eastAsia"/>
        </w:rPr>
        <w:t>〇が</w:t>
      </w:r>
      <w:r w:rsidR="00EB6225">
        <w:rPr>
          <w:rFonts w:asciiTheme="majorEastAsia" w:eastAsiaTheme="majorEastAsia" w:hAnsiTheme="majorEastAsia" w:hint="eastAsia"/>
        </w:rPr>
        <w:t>1</w:t>
      </w:r>
      <w:r w:rsidR="00B0289C">
        <w:rPr>
          <w:rFonts w:asciiTheme="majorEastAsia" w:eastAsiaTheme="majorEastAsia" w:hAnsiTheme="majorEastAsia" w:hint="eastAsia"/>
        </w:rPr>
        <w:t>つ</w:t>
      </w:r>
      <w:r>
        <w:rPr>
          <w:rFonts w:asciiTheme="majorEastAsia" w:eastAsiaTheme="majorEastAsia" w:hAnsiTheme="majorEastAsia" w:hint="eastAsia"/>
        </w:rPr>
        <w:t xml:space="preserve">　1点：</w:t>
      </w:r>
      <w:r w:rsidR="00B0289C">
        <w:rPr>
          <w:rFonts w:asciiTheme="majorEastAsia" w:eastAsiaTheme="majorEastAsia" w:hAnsiTheme="majorEastAsia" w:hint="eastAsia"/>
        </w:rPr>
        <w:t>〇が</w:t>
      </w:r>
      <w:r w:rsidR="00EB6225">
        <w:rPr>
          <w:rFonts w:asciiTheme="majorEastAsia" w:eastAsiaTheme="majorEastAsia" w:hAnsiTheme="majorEastAsia" w:hint="eastAsia"/>
        </w:rPr>
        <w:t>ない</w:t>
      </w:r>
      <w:r w:rsidR="00BA7B7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613D4" wp14:editId="2BC37F1D">
                <wp:simplePos x="0" y="0"/>
                <wp:positionH relativeFrom="margin">
                  <wp:posOffset>-178676</wp:posOffset>
                </wp:positionH>
                <wp:positionV relativeFrom="paragraph">
                  <wp:posOffset>8737009</wp:posOffset>
                </wp:positionV>
                <wp:extent cx="6649728" cy="58189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728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7E1" w:rsidRDefault="00A427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13D4" id="テキスト ボックス 3" o:spid="_x0000_s1027" type="#_x0000_t202" style="position:absolute;left:0;text-align:left;margin-left:-14.05pt;margin-top:687.95pt;width:523.6pt;height:4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" filled="f" stroked="f" strokeweight=".5pt">
                <v:textbox>
                  <w:txbxContent>
                    <w:p w:rsidR="00A427E1" w:rsidRDefault="00A427E1"/>
                  </w:txbxContent>
                </v:textbox>
                <w10:wrap anchorx="margin"/>
              </v:shape>
            </w:pict>
          </mc:Fallback>
        </mc:AlternateContent>
      </w:r>
    </w:p>
    <w:sectPr w:rsidR="00C300AD" w:rsidRPr="00EB6225" w:rsidSect="00BA0C8B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E0B" w:rsidRDefault="00895E0B" w:rsidP="00D841D7">
      <w:r>
        <w:separator/>
      </w:r>
    </w:p>
  </w:endnote>
  <w:endnote w:type="continuationSeparator" w:id="0">
    <w:p w:rsidR="00895E0B" w:rsidRDefault="00895E0B" w:rsidP="00D8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E0B" w:rsidRDefault="00895E0B" w:rsidP="00D841D7">
      <w:r>
        <w:separator/>
      </w:r>
    </w:p>
  </w:footnote>
  <w:footnote w:type="continuationSeparator" w:id="0">
    <w:p w:rsidR="00895E0B" w:rsidRDefault="00895E0B" w:rsidP="00D8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45"/>
    <w:rsid w:val="0004227A"/>
    <w:rsid w:val="00042892"/>
    <w:rsid w:val="00067EFE"/>
    <w:rsid w:val="000E34F1"/>
    <w:rsid w:val="00112925"/>
    <w:rsid w:val="00114099"/>
    <w:rsid w:val="001202E6"/>
    <w:rsid w:val="001218D7"/>
    <w:rsid w:val="00155804"/>
    <w:rsid w:val="001B7891"/>
    <w:rsid w:val="001D23C6"/>
    <w:rsid w:val="00207ADF"/>
    <w:rsid w:val="002104C2"/>
    <w:rsid w:val="002605A8"/>
    <w:rsid w:val="0028760D"/>
    <w:rsid w:val="00323D50"/>
    <w:rsid w:val="00340E26"/>
    <w:rsid w:val="00351955"/>
    <w:rsid w:val="00362A45"/>
    <w:rsid w:val="00366EC1"/>
    <w:rsid w:val="0038542A"/>
    <w:rsid w:val="003B30F2"/>
    <w:rsid w:val="003D564B"/>
    <w:rsid w:val="003D7EFE"/>
    <w:rsid w:val="004221DF"/>
    <w:rsid w:val="00422681"/>
    <w:rsid w:val="00426C91"/>
    <w:rsid w:val="00436B8D"/>
    <w:rsid w:val="00436BF0"/>
    <w:rsid w:val="00453935"/>
    <w:rsid w:val="00482795"/>
    <w:rsid w:val="00484B51"/>
    <w:rsid w:val="0048796A"/>
    <w:rsid w:val="00492BB4"/>
    <w:rsid w:val="004A76F6"/>
    <w:rsid w:val="00527AC9"/>
    <w:rsid w:val="00547136"/>
    <w:rsid w:val="00550D37"/>
    <w:rsid w:val="00563476"/>
    <w:rsid w:val="00570713"/>
    <w:rsid w:val="005A44C3"/>
    <w:rsid w:val="005A4EBE"/>
    <w:rsid w:val="0062180E"/>
    <w:rsid w:val="006A30E6"/>
    <w:rsid w:val="006A5986"/>
    <w:rsid w:val="006B76E9"/>
    <w:rsid w:val="00730285"/>
    <w:rsid w:val="00742E7E"/>
    <w:rsid w:val="00757A1D"/>
    <w:rsid w:val="007861D1"/>
    <w:rsid w:val="007B0D37"/>
    <w:rsid w:val="007D1548"/>
    <w:rsid w:val="007E1AAB"/>
    <w:rsid w:val="00847615"/>
    <w:rsid w:val="00893987"/>
    <w:rsid w:val="00895E0B"/>
    <w:rsid w:val="008B1486"/>
    <w:rsid w:val="008F7ADF"/>
    <w:rsid w:val="00921EEE"/>
    <w:rsid w:val="009448FA"/>
    <w:rsid w:val="00954B59"/>
    <w:rsid w:val="009C2289"/>
    <w:rsid w:val="009D1813"/>
    <w:rsid w:val="009D28FB"/>
    <w:rsid w:val="009D5B73"/>
    <w:rsid w:val="009F2EF5"/>
    <w:rsid w:val="00A1397B"/>
    <w:rsid w:val="00A415BA"/>
    <w:rsid w:val="00A427E1"/>
    <w:rsid w:val="00A446BF"/>
    <w:rsid w:val="00A61134"/>
    <w:rsid w:val="00A64FF2"/>
    <w:rsid w:val="00AB5988"/>
    <w:rsid w:val="00AE0E21"/>
    <w:rsid w:val="00B0289C"/>
    <w:rsid w:val="00B23AAB"/>
    <w:rsid w:val="00B531B5"/>
    <w:rsid w:val="00BA0C8B"/>
    <w:rsid w:val="00BA7B79"/>
    <w:rsid w:val="00BB0D6C"/>
    <w:rsid w:val="00BC1D23"/>
    <w:rsid w:val="00BD1374"/>
    <w:rsid w:val="00BF0BB8"/>
    <w:rsid w:val="00C300AD"/>
    <w:rsid w:val="00C84DA3"/>
    <w:rsid w:val="00CF1689"/>
    <w:rsid w:val="00CF3698"/>
    <w:rsid w:val="00D06D6B"/>
    <w:rsid w:val="00D21DF1"/>
    <w:rsid w:val="00D36AED"/>
    <w:rsid w:val="00D75CC9"/>
    <w:rsid w:val="00D82D05"/>
    <w:rsid w:val="00D841D7"/>
    <w:rsid w:val="00D96614"/>
    <w:rsid w:val="00DE3427"/>
    <w:rsid w:val="00DF32DD"/>
    <w:rsid w:val="00E46FD9"/>
    <w:rsid w:val="00E76164"/>
    <w:rsid w:val="00E8321C"/>
    <w:rsid w:val="00E90B3B"/>
    <w:rsid w:val="00EB6225"/>
    <w:rsid w:val="00EB6B88"/>
    <w:rsid w:val="00ED5753"/>
    <w:rsid w:val="00EF26D4"/>
    <w:rsid w:val="00F0728B"/>
    <w:rsid w:val="00F10BB5"/>
    <w:rsid w:val="00F27F07"/>
    <w:rsid w:val="00F36EBC"/>
    <w:rsid w:val="00F42B37"/>
    <w:rsid w:val="00F66BAF"/>
    <w:rsid w:val="00F749FF"/>
    <w:rsid w:val="00F971E5"/>
    <w:rsid w:val="00FA3D1F"/>
    <w:rsid w:val="00FB18A9"/>
    <w:rsid w:val="00FB52C7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575EF9"/>
  <w15:chartTrackingRefBased/>
  <w15:docId w15:val="{48FAFFA3-B556-4493-84DB-B0EAED12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66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1D7"/>
  </w:style>
  <w:style w:type="paragraph" w:styleId="a8">
    <w:name w:val="footer"/>
    <w:basedOn w:val="a"/>
    <w:link w:val="a9"/>
    <w:uiPriority w:val="99"/>
    <w:unhideWhenUsed/>
    <w:rsid w:val="00D84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207</Words>
  <Characters>1184</Characters>
  <DocSecurity>0</DocSecurity>
  <Lines>9</Lines>
  <Paragraphs>2</Paragraphs>
  <ScaleCrop>false</ScaleCrop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2026-02-16T01:14:00Z</cp:lastPrinted>
  <dcterms:created xsi:type="dcterms:W3CDTF">2023-07-17T01:42:00Z</dcterms:created>
  <dcterms:modified xsi:type="dcterms:W3CDTF">2026-02-16T01:24:00Z</dcterms:modified>
</cp:coreProperties>
</file>